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outlineLvl w:val="9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bookmarkStart w:id="0" w:name="_Toc2407"/>
      <w:bookmarkStart w:id="1" w:name="_Toc17944"/>
      <w:bookmarkStart w:id="2" w:name="_Toc24136"/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附件</w:t>
      </w:r>
      <w:bookmarkEnd w:id="0"/>
      <w:bookmarkEnd w:id="1"/>
      <w:bookmarkEnd w:id="2"/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</w:t>
      </w:r>
    </w:p>
    <w:sdt>
      <w:sdt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id w:val="147480286"/>
        <w15:color w:val="DBDBDB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目录</w:t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commentRangeStart w:id="0"/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TOC \o "1-3" \h \u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_Toc31029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kern w:val="0"/>
              <w:sz w:val="30"/>
              <w:szCs w:val="30"/>
              <w:lang w:eastAsia="zh-CN"/>
            </w:rPr>
            <w:t>表</w:t>
          </w:r>
          <w:r>
            <w:rPr>
              <w:rFonts w:hint="eastAsia" w:ascii="仿宋_GB2312" w:hAnsi="仿宋_GB2312" w:eastAsia="仿宋_GB2312" w:cs="仿宋_GB2312"/>
              <w:kern w:val="0"/>
              <w:sz w:val="30"/>
              <w:szCs w:val="30"/>
              <w:lang w:val="en-US" w:eastAsia="zh-CN"/>
            </w:rPr>
            <w:t>1 协议期考核</w:t>
          </w:r>
          <w:r>
            <w:rPr>
              <w:rFonts w:hint="eastAsia" w:ascii="仿宋_GB2312" w:hAnsi="仿宋_GB2312" w:eastAsia="仿宋_GB2312" w:cs="仿宋_GB2312"/>
              <w:kern w:val="0"/>
              <w:sz w:val="30"/>
              <w:szCs w:val="30"/>
            </w:rPr>
            <w:t>自评表（纯教学）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_Toc31029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2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_Toc6794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kern w:val="0"/>
              <w:sz w:val="30"/>
              <w:szCs w:val="30"/>
              <w:lang w:eastAsia="zh-CN"/>
            </w:rPr>
            <w:t>表2 协议期考核自评表（纯科研）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_Toc6794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3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_Toc30386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kern w:val="0"/>
              <w:sz w:val="30"/>
              <w:szCs w:val="30"/>
              <w:lang w:val="en-US" w:eastAsia="zh-CN" w:bidi="ar-SA"/>
            </w:rPr>
            <w:t>表3 协议期考核自评表（教学科研融合）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_Toc30386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4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_Toc9460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  <w:t>承担课程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_Toc9460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7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_Toc2158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  <w:t>指导本科生毕业论文情况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_Toc2158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8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_Toc12274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  <w:t>学生实践与创新能力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_Toc12274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9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_Toc11649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  <w:t>获得重要科技奖励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_Toc11649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10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_Toc23219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  <w:t>授权知识产权成果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_Toc23219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11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_Toc6895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  <w:t>科技成果转化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_Toc6895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12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_Toc5750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  <w:t>发表论文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_Toc5750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13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rPr>
              <w:rFonts w:hint="eastAsia" w:ascii="仿宋_GB2312" w:hAnsi="仿宋_GB2312" w:eastAsia="仿宋_GB2312" w:cs="仿宋_GB2312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HYPERLINK \l _Toc29724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  <w:t>其他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ab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instrText xml:space="preserve"> PAGEREF _Toc29724 \h </w:instrTex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t>14</w:t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</w:p>
        <w:p>
          <w:pPr>
            <w:rPr>
              <w:rFonts w:hint="eastAsia" w:ascii="仿宋" w:hAnsi="仿宋" w:eastAsia="仿宋" w:cs="仿宋"/>
              <w:sz w:val="30"/>
              <w:szCs w:val="30"/>
            </w:rPr>
          </w:pPr>
          <w:r>
            <w:rPr>
              <w:rFonts w:hint="eastAsia" w:ascii="仿宋_GB2312" w:hAnsi="仿宋_GB2312" w:eastAsia="仿宋_GB2312" w:cs="仿宋_GB2312"/>
              <w:sz w:val="30"/>
              <w:szCs w:val="30"/>
            </w:rPr>
            <w:fldChar w:fldCharType="end"/>
          </w:r>
          <w:commentRangeEnd w:id="0"/>
          <w:r>
            <w:commentReference w:id="0"/>
          </w:r>
        </w:p>
      </w:sdtContent>
    </w:sdt>
    <w:p>
      <w:pPr>
        <w:widowControl/>
        <w:spacing w:line="560" w:lineRule="exact"/>
        <w:jc w:val="center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br w:type="page"/>
      </w:r>
    </w:p>
    <w:p>
      <w:pPr>
        <w:widowControl/>
        <w:spacing w:line="560" w:lineRule="exact"/>
        <w:jc w:val="center"/>
        <w:outlineLvl w:val="0"/>
        <w:rPr>
          <w:rFonts w:eastAsia="仿宋_GB2312"/>
          <w:color w:val="000000"/>
          <w:kern w:val="0"/>
          <w:sz w:val="32"/>
          <w:szCs w:val="32"/>
        </w:rPr>
      </w:pPr>
      <w:commentRangeStart w:id="1"/>
      <w:bookmarkStart w:id="3" w:name="_Toc31029"/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 协议期考核</w:t>
      </w:r>
      <w:r>
        <w:rPr>
          <w:rFonts w:hint="eastAsia" w:eastAsia="仿宋_GB2312"/>
          <w:color w:val="000000"/>
          <w:kern w:val="0"/>
          <w:sz w:val="32"/>
          <w:szCs w:val="32"/>
        </w:rPr>
        <w:t>自评表</w:t>
      </w:r>
      <w:r>
        <w:rPr>
          <w:rFonts w:eastAsia="仿宋_GB2312"/>
          <w:color w:val="000000"/>
          <w:kern w:val="0"/>
          <w:sz w:val="32"/>
          <w:szCs w:val="32"/>
        </w:rPr>
        <w:t>（纯教学）</w:t>
      </w:r>
      <w:commentRangeEnd w:id="1"/>
      <w:r>
        <w:commentReference w:id="1"/>
      </w:r>
      <w:bookmarkEnd w:id="3"/>
    </w:p>
    <w:tbl>
      <w:tblPr>
        <w:tblStyle w:val="7"/>
        <w:tblW w:w="10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321"/>
        <w:gridCol w:w="1284"/>
        <w:gridCol w:w="1452"/>
        <w:gridCol w:w="1498"/>
        <w:gridCol w:w="4"/>
        <w:gridCol w:w="1799"/>
        <w:gridCol w:w="764"/>
        <w:gridCol w:w="409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用户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用地类型</w:t>
            </w:r>
          </w:p>
        </w:tc>
        <w:tc>
          <w:tcPr>
            <w:tcW w:w="406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纯教学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/纯科研/教学科研融合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地  块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例：启林三区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4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例：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2亩</w:t>
            </w: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用地签约期</w:t>
            </w:r>
          </w:p>
        </w:tc>
        <w:tc>
          <w:tcPr>
            <w:tcW w:w="180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联系人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量化说明</w:t>
            </w: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计分方式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日常管理（40分）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协议期内每年日常管理得分的平均分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基地处填写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利用基地资源的产出绩效（60分）</w:t>
            </w:r>
          </w:p>
          <w:p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教学情况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主要考核承担本科生及研究生教学实践的课程门数等教学情况。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bookmarkStart w:id="4" w:name="_Hlk76028321"/>
            <w:r>
              <w:rPr>
                <w:rFonts w:eastAsia="仿宋_GB2312"/>
                <w:color w:val="000000"/>
                <w:kern w:val="0"/>
                <w:szCs w:val="21"/>
              </w:rPr>
              <w:t>承担课程情况</w:t>
            </w:r>
            <w:bookmarkEnd w:id="4"/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承担1门课程加20分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bookmarkStart w:id="5" w:name="_Hlk76028338"/>
            <w:r>
              <w:rPr>
                <w:rFonts w:eastAsia="仿宋_GB2312"/>
                <w:color w:val="000000"/>
                <w:kern w:val="0"/>
                <w:szCs w:val="21"/>
              </w:rPr>
              <w:t>指导本科生毕业论文情况</w:t>
            </w:r>
            <w:bookmarkEnd w:id="5"/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指导1名本科生毕业论文（在基地开展研究的）加1分。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bookmarkStart w:id="6" w:name="_Hlk76028344"/>
            <w:r>
              <w:rPr>
                <w:rFonts w:eastAsia="仿宋_GB2312"/>
                <w:color w:val="000000"/>
                <w:kern w:val="0"/>
                <w:szCs w:val="21"/>
              </w:rPr>
              <w:t>学生实践与创新能力</w:t>
            </w:r>
            <w:bookmarkEnd w:id="6"/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指导学生大创项目等的，1项加5分。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29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资源使用绩效自评</w:t>
            </w:r>
          </w:p>
        </w:tc>
        <w:tc>
          <w:tcPr>
            <w:tcW w:w="962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□优秀         □合格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962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560" w:lineRule="exact"/>
        <w:jc w:val="center"/>
        <w:rPr>
          <w:rFonts w:eastAsia="仿宋_GB2312"/>
          <w:b/>
          <w:color w:val="000000"/>
          <w:sz w:val="32"/>
          <w:szCs w:val="32"/>
        </w:rPr>
      </w:pPr>
    </w:p>
    <w:p>
      <w:pPr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br w:type="page"/>
      </w:r>
    </w:p>
    <w:p>
      <w:pPr>
        <w:widowControl/>
        <w:spacing w:line="560" w:lineRule="exact"/>
        <w:jc w:val="center"/>
        <w:rPr>
          <w:rFonts w:eastAsia="仿宋_GB2312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outlineLvl w:val="0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bookmarkStart w:id="7" w:name="_Toc6794"/>
      <w:commentRangeStart w:id="2"/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表2 协议期考核自评表（纯科研）</w:t>
      </w:r>
      <w:commentRangeEnd w:id="2"/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commentReference w:id="2"/>
      </w:r>
      <w:bookmarkEnd w:id="7"/>
    </w:p>
    <w:tbl>
      <w:tblPr>
        <w:tblStyle w:val="7"/>
        <w:tblW w:w="10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954"/>
        <w:gridCol w:w="385"/>
        <w:gridCol w:w="774"/>
        <w:gridCol w:w="530"/>
        <w:gridCol w:w="1474"/>
        <w:gridCol w:w="1407"/>
        <w:gridCol w:w="114"/>
        <w:gridCol w:w="4"/>
        <w:gridCol w:w="1827"/>
        <w:gridCol w:w="756"/>
        <w:gridCol w:w="15"/>
        <w:gridCol w:w="421"/>
        <w:gridCol w:w="1076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bookmarkStart w:id="8" w:name="_Hlk89179649"/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用户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用地类型</w:t>
            </w: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纯教学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/纯科研/教学科研融合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地  块</w:t>
            </w:r>
          </w:p>
        </w:tc>
        <w:tc>
          <w:tcPr>
            <w:tcW w:w="133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例：启林三区</w:t>
            </w:r>
          </w:p>
        </w:tc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例：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2亩</w:t>
            </w:r>
          </w:p>
        </w:tc>
        <w:tc>
          <w:tcPr>
            <w:tcW w:w="152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用地签约期</w:t>
            </w:r>
          </w:p>
        </w:tc>
        <w:tc>
          <w:tcPr>
            <w:tcW w:w="183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联系人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量化说明</w:t>
            </w:r>
          </w:p>
        </w:tc>
        <w:tc>
          <w:tcPr>
            <w:tcW w:w="412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计分方式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日常管理（40分）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2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协议期内每年日常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管理得分的平均分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基地处填写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739" w:hRule="atLeast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利用基地资源的产出绩效（60分）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科研情况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获得重要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科技奖励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参照《华南农业大学学术业绩评价体系（试行）》第三部分科研成果业绩评价体系中科技奖励类型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获得1次T0类加10分。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获得1次T1类加9分。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获得1次T2类加8分。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获得1次A类加7分。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获得1次B类加6分。</w:t>
            </w:r>
          </w:p>
          <w:p>
            <w:pPr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获得1次C类加5分。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995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授权知识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产权成果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参照《华南农业大学学术业绩评价体系（试行）》第三部分科研成果业绩评价体系中知识产权和标准类型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获得1次T0类加10分。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获得1次T1类加9分。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获得1次T2类加8分。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获得1次A类加7分。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获得1次B类加6分。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获得1次C类加5分。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739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科技成果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转化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参照《华南农业大学学术业绩评价体系（试行）》第三部分科研成果业绩评价体系中科技成果转化类型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获得1次T0类加10分。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获得1次T1类加9分。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获得1次T2类加8分。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获得1次A类加7分。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获得1次B类加6分。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获得1次C类加5分。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604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发表论文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参照《华南农业大学学术论文评价方案（试行）》当中学术论文等级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试验地点为：华南农业大学五山校园教学科研基地（SCAU Wushan Campus Teaching &amp; Research Base）、华南农业大学增城校园教学科研基地（SCAU Zengcheng Campus Teaching &amp; Research Base）或华南农业大学校内（SCAU Campus）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发表1篇T1类加10分。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发表1篇T2类加9分。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发表1篇A类加8分。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发表1篇B类加7分。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发表1篇C类加6分。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42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其他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0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9737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030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资源使用绩效自评</w:t>
            </w:r>
          </w:p>
        </w:tc>
        <w:tc>
          <w:tcPr>
            <w:tcW w:w="9737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□优秀         □合格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22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9737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2"/>
        <w:bidi w:val="0"/>
        <w:jc w:val="center"/>
        <w:rPr>
          <w:rFonts w:hint="eastAsia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br w:type="page"/>
      </w:r>
      <w:commentRangeStart w:id="3"/>
      <w:bookmarkStart w:id="9" w:name="_Toc30386"/>
      <w:r>
        <w:rPr>
          <w:rFonts w:hint="eastAsia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  <w:t>表3 协议期考核自评表（教学科研融合）</w:t>
      </w:r>
      <w:commentRangeEnd w:id="3"/>
      <w:r>
        <w:rPr>
          <w:rFonts w:hint="eastAsia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  <w:commentReference w:id="3"/>
      </w:r>
      <w:bookmarkEnd w:id="9"/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40"/>
        <w:gridCol w:w="692"/>
        <w:gridCol w:w="418"/>
        <w:gridCol w:w="1255"/>
        <w:gridCol w:w="1061"/>
        <w:gridCol w:w="233"/>
        <w:gridCol w:w="3"/>
        <w:gridCol w:w="1337"/>
        <w:gridCol w:w="885"/>
        <w:gridCol w:w="92"/>
        <w:gridCol w:w="260"/>
        <w:gridCol w:w="838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用户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用地类型</w:t>
            </w:r>
          </w:p>
        </w:tc>
        <w:tc>
          <w:tcPr>
            <w:tcW w:w="352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纯教学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/纯科研/教学科研融合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地  块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例：启林三区</w:t>
            </w:r>
          </w:p>
        </w:tc>
        <w:tc>
          <w:tcPr>
            <w:tcW w:w="111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例：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2亩</w:t>
            </w:r>
          </w:p>
        </w:tc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用地签约期</w:t>
            </w:r>
          </w:p>
        </w:tc>
        <w:tc>
          <w:tcPr>
            <w:tcW w:w="134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联系人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0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量化说明</w:t>
            </w:r>
          </w:p>
        </w:tc>
        <w:tc>
          <w:tcPr>
            <w:tcW w:w="35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计分方式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日常管理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协议期内每年日常管理得分的平均分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基地处填写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利用基地资源的产出绩效（60分）</w:t>
            </w:r>
          </w:p>
          <w:p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教学情况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（20分）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主要考核承担本科生及研究生教学实践的课程门数等教学情况。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承担课程情况</w:t>
            </w:r>
          </w:p>
        </w:tc>
        <w:tc>
          <w:tcPr>
            <w:tcW w:w="35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承担1门课程加10分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指导本科生毕业论文情况</w:t>
            </w:r>
          </w:p>
        </w:tc>
        <w:tc>
          <w:tcPr>
            <w:tcW w:w="35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指导1名本科生毕业论文（在基地开展研究的）加1分。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学生实践与创新能力</w:t>
            </w:r>
          </w:p>
        </w:tc>
        <w:tc>
          <w:tcPr>
            <w:tcW w:w="35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指导学生大创项目等的，1项加5分。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004" w:hRule="atLeast"/>
          <w:jc w:val="center"/>
        </w:trPr>
        <w:tc>
          <w:tcPr>
            <w:tcW w:w="10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科研情况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获得重要科技奖励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参照《华南农业大学学术业绩评价体系（试行）》第三部分科研成果业绩评价体系中科技奖励类型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获得1次T0类加10分。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获得1次T1类加9分。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获得1次T2类加8分。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获得1次A类加7分。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获得1次B类加6分。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获得1次C类加5分。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004" w:hRule="atLeast"/>
          <w:jc w:val="center"/>
        </w:trPr>
        <w:tc>
          <w:tcPr>
            <w:tcW w:w="10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授权知识产权成果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参照《华南农业大学学术业绩评价体系（试行）》第三部分科研成果业绩评价体系中知识产权和标准类型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获得1次T0类加10分。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获得1次T1类加9分。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获得1次T2类加8分。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获得1次A类加7分。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获得1次B类加6分。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获得1次C类加5分。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004" w:hRule="atLeast"/>
          <w:jc w:val="center"/>
        </w:trPr>
        <w:tc>
          <w:tcPr>
            <w:tcW w:w="10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科技成果转化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参照《华南农业大学学术业绩评价体系（试行）》第三部分科研成果业绩评价体系中科技成果转化类型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获得1次T0类加10分。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获得1次T1类加9分。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获得1次T2类加8分。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获得1次A类加7分。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获得1次B类加6分。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获得1次C类加5分。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646" w:hRule="atLeast"/>
          <w:jc w:val="center"/>
        </w:trPr>
        <w:tc>
          <w:tcPr>
            <w:tcW w:w="10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参照《华南农业大学学术论文评价方案（试行）》当中学术论文等级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试验地点为：华南农业大学五山校园教学科研基地（SCAU Wushan Campus Teaching &amp; Research Base）、华南农业大学增城校园教学科研基地（SCAU Zengcheng Campus Teaching &amp; Research Base）或华南农业大学校内（SCAU Campus）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发表1篇T1类加10分。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发表1篇T2类加9分。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发表1篇A类加8分。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发表1篇B类加7分。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发表1篇C类加6分。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839" w:hRule="atLeast"/>
          <w:jc w:val="center"/>
        </w:trPr>
        <w:tc>
          <w:tcPr>
            <w:tcW w:w="10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各大中心或平台完成上级任务的情况、上级主管部门对平台中心的考核情况；各委托管理单位委托期的管理情况。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78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8214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09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资源使用绩效自评</w:t>
            </w:r>
          </w:p>
        </w:tc>
        <w:tc>
          <w:tcPr>
            <w:tcW w:w="8214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□优秀         □合格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9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214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br w:type="page"/>
      </w:r>
    </w:p>
    <w:p>
      <w:pPr>
        <w:widowControl/>
        <w:spacing w:line="560" w:lineRule="exact"/>
        <w:jc w:val="left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7"/>
        <w:tblW w:w="9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3137"/>
        <w:gridCol w:w="1479"/>
        <w:gridCol w:w="837"/>
        <w:gridCol w:w="1250"/>
        <w:gridCol w:w="1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9840" w:type="dxa"/>
            <w:gridSpan w:val="6"/>
            <w:tcBorders>
              <w:top w:val="nil"/>
            </w:tcBorders>
            <w:noWrap w:val="0"/>
            <w:vAlign w:val="bottom"/>
          </w:tcPr>
          <w:p>
            <w:pPr>
              <w:widowControl/>
              <w:spacing w:line="560" w:lineRule="exact"/>
              <w:jc w:val="both"/>
              <w:outlineLvl w:val="9"/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 xml:space="preserve">    </w:t>
            </w:r>
            <w:r>
              <w:t xml:space="preserve">                       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表4 用地收回表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  </w:t>
            </w:r>
            <w:bookmarkStart w:id="10" w:name="_Toc27755"/>
            <w:r>
              <w:rPr>
                <w:rFonts w:ascii="Times New Roman" w:hAnsi="Times New Roman" w:eastAsia="宋体" w:cs="Times New Roman"/>
                <w:b w:val="0"/>
                <w:kern w:val="0"/>
                <w:sz w:val="24"/>
                <w:szCs w:val="20"/>
                <w:lang w:val="en-US" w:eastAsia="zh-CN" w:bidi="ar-SA"/>
              </w:rPr>
              <w:t>填表日期：</w:t>
            </w:r>
            <w:bookmarkEnd w:id="1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用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户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 xml:space="preserve">                                                                                                                                           　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用地签约期</w:t>
            </w:r>
          </w:p>
        </w:tc>
        <w:tc>
          <w:tcPr>
            <w:tcW w:w="3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例：2021.1.1-2022.12.31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用户所在单位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联系人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地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块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例：启林三区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面积</w:t>
            </w:r>
          </w:p>
        </w:tc>
        <w:tc>
          <w:tcPr>
            <w:tcW w:w="3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例：</w:t>
            </w:r>
            <w:r>
              <w:rPr>
                <w:kern w:val="0"/>
                <w:sz w:val="24"/>
                <w:szCs w:val="20"/>
              </w:rPr>
              <w:t>2亩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收回</w:t>
            </w:r>
            <w:r>
              <w:rPr>
                <w:kern w:val="0"/>
                <w:sz w:val="24"/>
                <w:szCs w:val="20"/>
              </w:rPr>
              <w:t>原因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用户对使用地块</w:t>
            </w:r>
            <w:r>
              <w:rPr>
                <w:rFonts w:hint="eastAsia"/>
                <w:kern w:val="0"/>
                <w:sz w:val="24"/>
                <w:szCs w:val="20"/>
              </w:rPr>
              <w:t>新一轮使用情况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 xml:space="preserve">        用户签名：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验收</w:t>
            </w:r>
            <w:r>
              <w:rPr>
                <w:kern w:val="0"/>
                <w:sz w:val="24"/>
                <w:szCs w:val="20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绩效考核情况。土地管理费缴纳和土地作物清理情况。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附</w:t>
            </w:r>
            <w:r>
              <w:rPr>
                <w:rFonts w:hint="eastAsia"/>
                <w:kern w:val="0"/>
                <w:sz w:val="24"/>
                <w:szCs w:val="20"/>
              </w:rPr>
              <w:t>本协议期内</w:t>
            </w:r>
            <w:r>
              <w:rPr>
                <w:kern w:val="0"/>
                <w:sz w:val="24"/>
                <w:szCs w:val="20"/>
              </w:rPr>
              <w:t>土地申请表、用地位置图、土地作物清理图。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基地管理处意见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>
      <w:pPr>
        <w:rPr>
          <w:szCs w:val="20"/>
        </w:rPr>
      </w:pPr>
    </w:p>
    <w:p>
      <w:pPr>
        <w:rPr>
          <w:szCs w:val="20"/>
        </w:rPr>
      </w:pPr>
      <w:r>
        <w:rPr>
          <w:szCs w:val="20"/>
        </w:rPr>
        <w:t>备注：</w:t>
      </w:r>
    </w:p>
    <w:p>
      <w:pPr>
        <w:ind w:firstLine="420" w:firstLineChars="200"/>
        <w:rPr>
          <w:szCs w:val="20"/>
        </w:rPr>
      </w:pPr>
      <w:r>
        <w:rPr>
          <w:szCs w:val="20"/>
        </w:rPr>
        <w:t>1、土地协议到期前3个月办理用地退出手续。</w:t>
      </w:r>
    </w:p>
    <w:p>
      <w:pPr>
        <w:widowControl/>
        <w:spacing w:line="560" w:lineRule="exact"/>
        <w:ind w:firstLine="420" w:firstLineChars="200"/>
        <w:jc w:val="left"/>
        <w:rPr>
          <w:szCs w:val="20"/>
        </w:rPr>
      </w:pPr>
      <w:r>
        <w:rPr>
          <w:szCs w:val="20"/>
        </w:rPr>
        <w:t>2、用户需缴清水电费、清理地上作物、建筑物及其他垃圾等方可退出。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bookmarkStart w:id="11" w:name="_Toc9460"/>
      <w:r>
        <w:rPr>
          <w:rFonts w:hint="eastAsia"/>
          <w:lang w:val="en-US" w:eastAsia="zh-CN"/>
        </w:rPr>
        <w:t>承担课程</w:t>
      </w:r>
      <w:bookmarkEnd w:id="11"/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/>
    <w:p>
      <w:pPr>
        <w:pStyle w:val="2"/>
        <w:bidi w:val="0"/>
        <w:rPr>
          <w:rFonts w:hint="eastAsia"/>
          <w:lang w:eastAsia="zh-CN"/>
        </w:rPr>
      </w:pPr>
      <w:bookmarkStart w:id="12" w:name="_Toc2158"/>
      <w:r>
        <w:rPr>
          <w:rFonts w:hint="eastAsia"/>
          <w:lang w:eastAsia="zh-CN"/>
        </w:rPr>
        <w:t>指导本科生毕业论文情况</w:t>
      </w:r>
      <w:bookmarkEnd w:id="12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3" w:name="_Toc12274"/>
      <w:r>
        <w:rPr>
          <w:rFonts w:hint="eastAsia"/>
          <w:lang w:eastAsia="zh-CN"/>
        </w:rPr>
        <w:t>学生实践与创新能力</w:t>
      </w:r>
      <w:bookmarkEnd w:id="13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4" w:name="_Toc11649"/>
      <w:r>
        <w:rPr>
          <w:rFonts w:hint="eastAsia"/>
          <w:lang w:eastAsia="zh-CN"/>
        </w:rPr>
        <w:t>获得重要科技奖励</w:t>
      </w:r>
      <w:bookmarkEnd w:id="14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5" w:name="_Toc23219"/>
      <w:r>
        <w:rPr>
          <w:rFonts w:hint="eastAsia"/>
          <w:lang w:eastAsia="zh-CN"/>
        </w:rPr>
        <w:t>授权知识产权成果</w:t>
      </w:r>
      <w:bookmarkEnd w:id="15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6" w:name="_Toc6895"/>
      <w:r>
        <w:rPr>
          <w:rFonts w:hint="eastAsia"/>
          <w:lang w:eastAsia="zh-CN"/>
        </w:rPr>
        <w:t>科技成果转化</w:t>
      </w:r>
      <w:bookmarkEnd w:id="16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7" w:name="_Toc5750"/>
      <w:r>
        <w:rPr>
          <w:rFonts w:hint="eastAsia"/>
          <w:lang w:eastAsia="zh-CN"/>
        </w:rPr>
        <w:t>发表论文</w:t>
      </w:r>
      <w:bookmarkEnd w:id="17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8" w:name="_Toc29724"/>
      <w:r>
        <w:rPr>
          <w:rFonts w:hint="eastAsia"/>
          <w:lang w:eastAsia="zh-CN"/>
        </w:rPr>
        <w:t>其他</w:t>
      </w:r>
      <w:bookmarkEnd w:id="18"/>
    </w:p>
    <w:sectPr>
      <w:headerReference r:id="rId5" w:type="default"/>
      <w:footerReference r:id="rId6" w:type="default"/>
      <w:pgSz w:w="11906" w:h="16838"/>
      <w:pgMar w:top="1134" w:right="1134" w:bottom="1134" w:left="1134" w:header="851" w:footer="992" w:gutter="0"/>
      <w:pgNumType w:start="1"/>
      <w:cols w:space="720" w:num="1"/>
      <w:docGrid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宋佩霖" w:date="2023-10-18T10:02:19Z" w:initials="宋">
    <w:p w14:paraId="6DDC1C1D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协议期考核自评表有三种，用户只需选填一种参加考核即可。</w:t>
      </w:r>
    </w:p>
  </w:comment>
  <w:comment w:id="1" w:author="宋佩霖" w:date="2023-10-18T09:52:53Z" w:initials="宋">
    <w:p w14:paraId="007E6647">
      <w:pPr>
        <w:widowControl/>
        <w:spacing w:line="560" w:lineRule="exact"/>
        <w:jc w:val="left"/>
        <w:rPr>
          <w:rFonts w:hint="default" w:eastAsia="仿宋_GB2312"/>
          <w:color w:val="0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yellow"/>
          <w:lang w:eastAsia="zh-CN"/>
        </w:rPr>
        <w:t>备注：表</w:t>
      </w:r>
      <w:r>
        <w:rPr>
          <w:rFonts w:hint="eastAsia" w:eastAsia="仿宋_GB2312"/>
          <w:color w:val="000000"/>
          <w:kern w:val="0"/>
          <w:sz w:val="32"/>
          <w:szCs w:val="32"/>
          <w:highlight w:val="yellow"/>
          <w:lang w:val="en-US" w:eastAsia="zh-CN"/>
        </w:rPr>
        <w:t>1、2、3只需选填一种。</w:t>
      </w:r>
    </w:p>
    <w:p w14:paraId="3C3E0225">
      <w:pPr>
        <w:widowControl/>
        <w:spacing w:line="560" w:lineRule="exact"/>
        <w:jc w:val="left"/>
        <w:rPr>
          <w:rFonts w:hint="eastAsia" w:eastAsia="仿宋_GB2312"/>
          <w:color w:val="0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yellow"/>
          <w:lang w:val="en-US" w:eastAsia="zh-CN"/>
        </w:rPr>
        <w:t>此批注可删除。</w:t>
      </w:r>
    </w:p>
  </w:comment>
  <w:comment w:id="2" w:author="宋佩霖" w:date="2023-10-18T09:53:01Z" w:initials="宋">
    <w:p w14:paraId="092D00F7">
      <w:pPr>
        <w:widowControl/>
        <w:spacing w:line="560" w:lineRule="exact"/>
        <w:jc w:val="left"/>
        <w:rPr>
          <w:rFonts w:hint="default" w:eastAsia="仿宋_GB2312"/>
          <w:color w:val="0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yellow"/>
          <w:lang w:eastAsia="zh-CN"/>
        </w:rPr>
        <w:t>备注：表</w:t>
      </w:r>
      <w:r>
        <w:rPr>
          <w:rFonts w:hint="eastAsia" w:eastAsia="仿宋_GB2312"/>
          <w:color w:val="000000"/>
          <w:kern w:val="0"/>
          <w:sz w:val="32"/>
          <w:szCs w:val="32"/>
          <w:highlight w:val="yellow"/>
          <w:lang w:val="en-US" w:eastAsia="zh-CN"/>
        </w:rPr>
        <w:t>1、2、3只需选填一种。</w:t>
      </w:r>
    </w:p>
    <w:p w14:paraId="7C9B1F19">
      <w:pPr>
        <w:widowControl/>
        <w:spacing w:line="560" w:lineRule="exact"/>
        <w:jc w:val="left"/>
        <w:rPr>
          <w:rFonts w:hint="eastAsia" w:eastAsia="仿宋_GB2312"/>
          <w:color w:val="0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yellow"/>
          <w:lang w:val="en-US" w:eastAsia="zh-CN"/>
        </w:rPr>
        <w:t>此批注可删除。</w:t>
      </w:r>
    </w:p>
    <w:p w14:paraId="493F4574">
      <w:pPr>
        <w:pStyle w:val="3"/>
      </w:pPr>
    </w:p>
  </w:comment>
  <w:comment w:id="3" w:author="宋佩霖" w:date="2023-10-18T09:53:05Z" w:initials="宋">
    <w:p w14:paraId="61965B89">
      <w:pPr>
        <w:widowControl/>
        <w:spacing w:line="560" w:lineRule="exact"/>
        <w:jc w:val="left"/>
        <w:rPr>
          <w:rFonts w:hint="default" w:eastAsia="仿宋_GB2312"/>
          <w:color w:val="0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yellow"/>
          <w:lang w:eastAsia="zh-CN"/>
        </w:rPr>
        <w:t>备注：表</w:t>
      </w:r>
      <w:r>
        <w:rPr>
          <w:rFonts w:hint="eastAsia" w:eastAsia="仿宋_GB2312"/>
          <w:color w:val="000000"/>
          <w:kern w:val="0"/>
          <w:sz w:val="32"/>
          <w:szCs w:val="32"/>
          <w:highlight w:val="yellow"/>
          <w:lang w:val="en-US" w:eastAsia="zh-CN"/>
        </w:rPr>
        <w:t>1、2、3只需选填一种。</w:t>
      </w:r>
    </w:p>
    <w:p w14:paraId="661516E2">
      <w:pPr>
        <w:widowControl/>
        <w:spacing w:line="560" w:lineRule="exact"/>
        <w:jc w:val="left"/>
        <w:rPr>
          <w:rFonts w:hint="eastAsia" w:eastAsia="仿宋_GB2312"/>
          <w:color w:val="0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yellow"/>
          <w:lang w:val="en-US" w:eastAsia="zh-CN"/>
        </w:rPr>
        <w:t>此批注可删除。</w:t>
      </w:r>
    </w:p>
    <w:p w14:paraId="062C1AE6">
      <w:pPr>
        <w:widowControl/>
        <w:spacing w:line="560" w:lineRule="exact"/>
        <w:jc w:val="left"/>
      </w:pPr>
      <w:bookmarkStart w:id="19" w:name="_GoBack"/>
      <w:bookmarkEnd w:id="19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DDC1C1D" w15:done="0"/>
  <w15:commentEx w15:paraId="3C3E0225" w15:done="0"/>
  <w15:commentEx w15:paraId="493F4574" w15:done="0"/>
  <w15:commentEx w15:paraId="062C1A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宋佩霖">
    <w15:presenceInfo w15:providerId="None" w15:userId="宋佩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ZjI1MGI1MzliMTc0NjVjYTQ2MjVhNmJkYjE4YjAifQ=="/>
  </w:docVars>
  <w:rsids>
    <w:rsidRoot w:val="510811EA"/>
    <w:rsid w:val="024D764E"/>
    <w:rsid w:val="0F377A24"/>
    <w:rsid w:val="199E04CC"/>
    <w:rsid w:val="1CCF33BD"/>
    <w:rsid w:val="249F030C"/>
    <w:rsid w:val="2D4D4D3E"/>
    <w:rsid w:val="2FDF01B3"/>
    <w:rsid w:val="510811EA"/>
    <w:rsid w:val="53F7632A"/>
    <w:rsid w:val="72DC3397"/>
    <w:rsid w:val="787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customStyle="1" w:styleId="9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2023-10-18T01:49:00Z</dcterms:created>
  <dc:creator>宋佩霖</dc:creator>
  <cp:lastModifiedBy>宋佩霖</cp:lastModifiedBy>
  <cp:lastPrinted>2023-10-20T01:03:00Z</cp:lastPrinted>
  <dcterms:modified xsi:type="dcterms:W3CDTF">2023-10-20T01:37:40Z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D9C0EE156DD74CF4A688C222B5421FB0_11</vt:lpwstr>
  </property>
</Properties>
</file>